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i/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2677772</wp:posOffset>
                </wp:positionH>
                <wp:positionV relativeFrom="paragraph">
                  <wp:posOffset>-152311</wp:posOffset>
                </wp:positionV>
                <wp:extent cx="586740" cy="685800"/>
                <wp:effectExtent l="0" t="0" r="3810" b="0"/>
                <wp:wrapTight wrapText="bothSides">
                  <wp:wrapPolygon edited="1">
                    <wp:start x="0" y="0"/>
                    <wp:lineTo x="0" y="21000"/>
                    <wp:lineTo x="21039" y="21000"/>
                    <wp:lineTo x="21039" y="0"/>
                    <wp:lineTo x="0" y="0"/>
                  </wp:wrapPolygon>
                </wp:wrapTight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0.85pt;mso-position-horizontal:absolute;mso-position-vertical-relative:text;margin-top:-11.99pt;mso-position-vertical:absolute;width:46.20pt;height:54.00pt;mso-wrap-distance-left:9.00pt;mso-wrap-distance-top:0.00pt;mso-wrap-distance-right:9.00pt;mso-wrap-distance-bottom:0.00pt;" wrapcoords="0 0 0 97222 97403 97222 97403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10"/>
          <w:szCs w:val="10"/>
          <w:lang w:eastAsia="ru-RU"/>
        </w:rPr>
      </w:pPr>
      <w:r>
        <w:rPr>
          <w:rFonts w:ascii="Times New Roman" w:hAnsi="Times New Roman" w:eastAsia="Calibri"/>
          <w:b/>
          <w:sz w:val="10"/>
          <w:szCs w:val="10"/>
          <w:lang w:eastAsia="ru-RU"/>
        </w:rPr>
      </w:r>
      <w:r>
        <w:rPr>
          <w:rFonts w:ascii="Times New Roman" w:hAnsi="Times New Roman" w:eastAsia="Calibri"/>
          <w:b/>
          <w:sz w:val="10"/>
          <w:szCs w:val="10"/>
          <w:lang w:eastAsia="ru-RU"/>
        </w:rPr>
      </w:r>
      <w:r>
        <w:rPr>
          <w:rFonts w:ascii="Times New Roman" w:hAnsi="Times New Roman" w:eastAsia="Calibri"/>
          <w:b/>
          <w:sz w:val="10"/>
          <w:szCs w:val="1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32"/>
          <w:szCs w:val="32"/>
          <w:lang w:eastAsia="ru-RU"/>
        </w:rPr>
      </w:pPr>
      <w:r>
        <w:rPr>
          <w:rFonts w:ascii="Times New Roman" w:hAnsi="Times New Roman" w:eastAsia="Calibri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  <w:r>
        <w:rPr>
          <w:rFonts w:ascii="Times New Roman" w:hAnsi="Times New Roman" w:eastAsia="Calibri"/>
          <w:b/>
          <w:sz w:val="32"/>
          <w:szCs w:val="32"/>
          <w:lang w:eastAsia="ru-RU"/>
        </w:rPr>
      </w:r>
      <w:r>
        <w:rPr>
          <w:rFonts w:ascii="Times New Roman" w:hAnsi="Times New Roman" w:eastAsia="Calibri"/>
          <w:b/>
          <w:sz w:val="32"/>
          <w:szCs w:val="3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8"/>
          <w:szCs w:val="8"/>
          <w:lang w:eastAsia="ru-RU"/>
        </w:rPr>
      </w:pPr>
      <w:r>
        <w:rPr>
          <w:rFonts w:ascii="Times New Roman" w:hAnsi="Times New Roman" w:eastAsia="Calibri"/>
          <w:b/>
          <w:sz w:val="8"/>
          <w:szCs w:val="8"/>
          <w:lang w:eastAsia="ru-RU"/>
        </w:rPr>
      </w:r>
      <w:r>
        <w:rPr>
          <w:rFonts w:ascii="Times New Roman" w:hAnsi="Times New Roman" w:eastAsia="Calibri"/>
          <w:b/>
          <w:sz w:val="8"/>
          <w:szCs w:val="8"/>
          <w:lang w:eastAsia="ru-RU"/>
        </w:rPr>
      </w:r>
      <w:r>
        <w:rPr>
          <w:rFonts w:ascii="Times New Roman" w:hAnsi="Times New Roman" w:eastAsia="Calibri"/>
          <w:b/>
          <w:sz w:val="8"/>
          <w:szCs w:val="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40"/>
          <w:szCs w:val="40"/>
          <w:lang w:eastAsia="ru-RU"/>
        </w:rPr>
      </w:pPr>
      <w:r>
        <w:rPr>
          <w:rFonts w:ascii="Times New Roman" w:hAnsi="Times New Roman" w:eastAsia="Calibri"/>
          <w:b/>
          <w:sz w:val="40"/>
          <w:szCs w:val="40"/>
          <w:lang w:eastAsia="ru-RU"/>
        </w:rPr>
        <w:t xml:space="preserve">ПОСТАНОВЛЕНИЕ</w:t>
      </w:r>
      <w:r>
        <w:rPr>
          <w:rFonts w:ascii="Times New Roman" w:hAnsi="Times New Roman" w:eastAsia="Calibri"/>
          <w:b/>
          <w:sz w:val="40"/>
          <w:szCs w:val="40"/>
          <w:lang w:eastAsia="ru-RU"/>
        </w:rPr>
      </w:r>
      <w:r>
        <w:rPr>
          <w:rFonts w:ascii="Times New Roman" w:hAnsi="Times New Roman" w:eastAsia="Calibri"/>
          <w:b/>
          <w:sz w:val="40"/>
          <w:szCs w:val="4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№ ____</w:t>
      </w:r>
      <w:r>
        <w:rPr>
          <w:rFonts w:ascii="Times New Roman" w:hAnsi="Times New Roman"/>
          <w:color w:val="000000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4"/>
          <w:szCs w:val="24"/>
          <w:lang w:eastAsia="ru-RU"/>
        </w:rPr>
      </w:pPr>
      <w:r>
        <w:rPr>
          <w:rFonts w:ascii="Times New Roman" w:hAnsi="Times New Roman" w:eastAsia="Calibri"/>
          <w:sz w:val="24"/>
          <w:szCs w:val="24"/>
          <w:lang w:eastAsia="ru-RU"/>
        </w:rPr>
        <w:t xml:space="preserve">г.Нефтеюганск</w:t>
      </w:r>
      <w:r>
        <w:rPr>
          <w:rFonts w:ascii="Times New Roman" w:hAnsi="Times New Roman" w:eastAsia="Calibri"/>
          <w:sz w:val="24"/>
          <w:szCs w:val="24"/>
          <w:lang w:eastAsia="ru-RU"/>
        </w:rPr>
      </w:r>
      <w:r>
        <w:rPr>
          <w:rFonts w:ascii="Times New Roman" w:hAnsi="Times New Roman" w:eastAsia="Calibri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</w:t>
      </w:r>
      <w:r>
        <w:rPr>
          <w:rFonts w:ascii="Times New Roman" w:hAnsi="Times New Roman" w:eastAsia="Calibri"/>
          <w:b/>
          <w:sz w:val="28"/>
          <w:szCs w:val="28"/>
        </w:rPr>
        <w:t xml:space="preserve"> внесении изменен</w:t>
      </w:r>
      <w:r>
        <w:rPr>
          <w:rFonts w:ascii="Times New Roman" w:hAnsi="Times New Roman" w:eastAsia="Calibri"/>
          <w:b/>
          <w:sz w:val="28"/>
          <w:szCs w:val="28"/>
        </w:rPr>
        <w:t xml:space="preserve">и</w:t>
      </w:r>
      <w:r>
        <w:rPr>
          <w:rFonts w:ascii="Times New Roman" w:hAnsi="Times New Roman" w:eastAsia="Calibri"/>
          <w:b/>
          <w:sz w:val="28"/>
          <w:szCs w:val="28"/>
        </w:rPr>
        <w:t xml:space="preserve">я</w:t>
      </w:r>
      <w:r>
        <w:rPr>
          <w:rFonts w:ascii="Times New Roman" w:hAnsi="Times New Roman" w:eastAsia="Calibri"/>
          <w:b/>
          <w:sz w:val="28"/>
          <w:szCs w:val="28"/>
        </w:rPr>
        <w:t xml:space="preserve"> в постановление администрации города Нефтеюганска от 08.05.2019 № 86-нп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«Об утверждении реестра муниципальных </w:t>
      </w:r>
      <w:r>
        <w:rPr>
          <w:rFonts w:ascii="Times New Roman" w:hAnsi="Times New Roman" w:eastAsia="Calibri"/>
          <w:b/>
          <w:sz w:val="28"/>
          <w:szCs w:val="28"/>
        </w:rPr>
        <w:t xml:space="preserve">услуг муниципального образования город Нефтеюганск</w:t>
      </w:r>
      <w:r>
        <w:rPr>
          <w:rFonts w:ascii="Times New Roman" w:hAnsi="Times New Roman" w:eastAsia="Calibri"/>
          <w:b/>
          <w:sz w:val="28"/>
          <w:szCs w:val="28"/>
        </w:rPr>
        <w:t xml:space="preserve">»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hint="eastAsia" w:ascii="Times New Roman" w:hAnsi="Times New Roman"/>
          <w:sz w:val="28"/>
          <w:szCs w:val="28"/>
        </w:rPr>
        <w:t xml:space="preserve">Федеральн</w:t>
      </w:r>
      <w:r>
        <w:rPr>
          <w:rFonts w:ascii="Times New Roman" w:hAnsi="Times New Roman"/>
          <w:sz w:val="28"/>
          <w:szCs w:val="28"/>
        </w:rPr>
        <w:t xml:space="preserve">ым </w:t>
      </w:r>
      <w:r>
        <w:rPr>
          <w:rFonts w:hint="eastAsia" w:ascii="Times New Roman" w:hAnsi="Times New Roman"/>
          <w:sz w:val="28"/>
          <w:szCs w:val="28"/>
        </w:rPr>
        <w:t xml:space="preserve">закон</w:t>
      </w:r>
      <w:r>
        <w:rPr>
          <w:rFonts w:ascii="Times New Roman" w:hAnsi="Times New Roman"/>
          <w:sz w:val="28"/>
          <w:szCs w:val="28"/>
        </w:rPr>
        <w:t xml:space="preserve">ом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hint="eastAsia"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27.07.2010 </w:t>
      </w:r>
      <w:r>
        <w:rPr>
          <w:rFonts w:hint="eastAsia"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210-</w:t>
      </w:r>
      <w:r>
        <w:rPr>
          <w:rFonts w:hint="eastAsia" w:ascii="Times New Roman" w:hAnsi="Times New Roman"/>
          <w:sz w:val="28"/>
          <w:szCs w:val="28"/>
        </w:rPr>
        <w:t xml:space="preserve">ФЗ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eastAsia"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и муниципальных</w:t>
      </w:r>
      <w:r>
        <w:rPr>
          <w:rFonts w:ascii="Times New Roman" w:hAnsi="Times New Roman"/>
          <w:sz w:val="28"/>
          <w:szCs w:val="28"/>
        </w:rPr>
        <w:t xml:space="preserve"> услуг»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города Нефтеюганска от 06.04.2015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32-нп «Об утверждении порядка формирования </w:t>
      </w:r>
      <w:r>
        <w:rPr>
          <w:rFonts w:ascii="Times New Roman" w:hAnsi="Times New Roman"/>
          <w:sz w:val="28"/>
          <w:szCs w:val="28"/>
        </w:rPr>
        <w:t xml:space="preserve">и ведения реестра муниципальных услуг города Нефтеюганска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»,  </w:t>
      </w:r>
      <w:r>
        <w:rPr>
          <w:rFonts w:ascii="Times New Roman" w:hAnsi="Times New Roman"/>
          <w:sz w:val="28"/>
          <w:szCs w:val="28"/>
        </w:rPr>
        <w:t xml:space="preserve">руководствуясь Типовым перечнем муниципальных услуг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Ханты-Мансийского </w:t>
      </w:r>
      <w:r>
        <w:rPr>
          <w:rFonts w:ascii="Times New Roman" w:hAnsi="Times New Roman"/>
          <w:sz w:val="28"/>
          <w:szCs w:val="28"/>
        </w:rPr>
        <w:t xml:space="preserve">автономного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Югры</w:t>
      </w:r>
      <w:r>
        <w:rPr>
          <w:rFonts w:ascii="Times New Roman" w:hAnsi="Times New Roman"/>
          <w:sz w:val="28"/>
          <w:szCs w:val="28"/>
        </w:rPr>
        <w:t xml:space="preserve">, одобренным Комиссией по проведению административной реформы и повышению качества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t xml:space="preserve">в Ханты-Мансийском автономном округе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Югре (в редакции решений, принятых протоколом от 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№ 5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Нефтеюганска</w:t>
      </w:r>
      <w:r>
        <w:rPr>
          <w:rFonts w:ascii="Times New Roman" w:hAnsi="Times New Roman"/>
          <w:sz w:val="28"/>
          <w:szCs w:val="28"/>
        </w:rPr>
        <w:t xml:space="preserve"> 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зменени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города</w:t>
      </w:r>
      <w:r>
        <w:rPr>
          <w:rFonts w:ascii="Times New Roman" w:hAnsi="Times New Roman"/>
          <w:sz w:val="28"/>
          <w:szCs w:val="28"/>
        </w:rPr>
        <w:t xml:space="preserve"> Нефтеюганска от </w:t>
      </w:r>
      <w:r>
        <w:rPr>
          <w:rFonts w:ascii="Times New Roman" w:hAnsi="Times New Roman"/>
          <w:sz w:val="28"/>
          <w:szCs w:val="28"/>
        </w:rPr>
        <w:t xml:space="preserve">08.05.2019 № 86-нп «Об утверждении реестра муниципальных услуг муниципального образования город Нефтеюганск»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постановлениями администрации города Нефтеюганска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от 21.08.2019 № 147-нп, от 21.04.2020 № 61-нп</w:t>
      </w:r>
      <w:r>
        <w:rPr>
          <w:rFonts w:ascii="Times New Roman" w:hAnsi="Times New Roman"/>
          <w:sz w:val="28"/>
          <w:szCs w:val="28"/>
        </w:rPr>
        <w:t xml:space="preserve">, от 01.12.2020 № 171-нп,                            от 19.03.2021 № 25-нп, от 24.09.2021 № 150-нп, от 13.04.2022 № 45-нп,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от 25.04.2022 № 48-нп, от 12.05.2022 № 58-нп</w:t>
      </w:r>
      <w:r>
        <w:rPr>
          <w:rFonts w:ascii="Times New Roman" w:hAnsi="Times New Roman"/>
          <w:sz w:val="28"/>
          <w:szCs w:val="28"/>
        </w:rPr>
        <w:t xml:space="preserve">, от 25.07.2022 № 92-нп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от 26.12.2022 № 193-нп</w:t>
      </w:r>
      <w:r>
        <w:rPr>
          <w:rFonts w:ascii="Times New Roman" w:hAnsi="Times New Roman"/>
          <w:sz w:val="28"/>
          <w:szCs w:val="28"/>
        </w:rPr>
        <w:t xml:space="preserve">, от 13.06.2023 № 71-нп</w:t>
      </w:r>
      <w:r>
        <w:rPr>
          <w:rFonts w:ascii="Times New Roman" w:hAnsi="Times New Roman"/>
          <w:sz w:val="28"/>
          <w:szCs w:val="28"/>
        </w:rPr>
        <w:t xml:space="preserve">, от 01.08.2024 № 77-нп</w:t>
      </w:r>
      <w:r>
        <w:rPr>
          <w:rFonts w:ascii="Times New Roman" w:hAnsi="Times New Roman"/>
          <w:sz w:val="28"/>
          <w:szCs w:val="28"/>
        </w:rPr>
        <w:t xml:space="preserve">,                           от 30.10.2024 № 103-нп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</w:t>
      </w:r>
      <w:bookmarkStart w:id="0" w:name="_GoBack"/>
      <w:r/>
      <w:bookmarkEnd w:id="0"/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изложив приложение к постановлению согласно приложению к настоящему постановлению.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bookmarkStart w:id="1" w:name="Par27"/>
      <w:r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Обнародовать (опубликовать) постановление в газете «Здравствуйте, </w:t>
      </w:r>
      <w:r>
        <w:rPr>
          <w:rFonts w:ascii="Times New Roman" w:hAnsi="Times New Roman"/>
          <w:color w:val="000000"/>
          <w:sz w:val="28"/>
          <w:szCs w:val="28"/>
        </w:rPr>
        <w:t xml:space="preserve">нефтеюганцы</w:t>
      </w:r>
      <w:r>
        <w:rPr>
          <w:rFonts w:ascii="Times New Roman" w:hAnsi="Times New Roman"/>
          <w:color w:val="000000"/>
          <w:sz w:val="28"/>
          <w:szCs w:val="28"/>
        </w:rPr>
        <w:t xml:space="preserve">!».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  <w:r>
        <w:rPr>
          <w:color w:val="000000"/>
        </w:rPr>
      </w:r>
      <w:r>
        <w:rPr>
          <w:color w:val="000000"/>
        </w:rPr>
      </w:r>
    </w:p>
    <w:p>
      <w:pPr>
        <w:ind w:firstLine="708"/>
        <w:jc w:val="both"/>
        <w:spacing w:after="0" w:line="240" w:lineRule="auto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 xml:space="preserve">4</w:t>
      </w:r>
      <w:r>
        <w:rPr>
          <w:rFonts w:ascii="Times New Roman CYR" w:hAnsi="Times New Roman CYR"/>
          <w:color w:val="000000"/>
          <w:sz w:val="28"/>
          <w:szCs w:val="28"/>
        </w:rPr>
        <w:t xml:space="preserve">.Постановление вступает в силу после его официального опубликования.</w:t>
      </w:r>
      <w:r>
        <w:rPr>
          <w:rFonts w:ascii="Times New Roman CYR" w:hAnsi="Times New Roman CYR"/>
          <w:color w:val="000000"/>
          <w:sz w:val="28"/>
          <w:szCs w:val="28"/>
        </w:rPr>
      </w:r>
      <w:r>
        <w:rPr>
          <w:rFonts w:ascii="Times New Roman CYR" w:hAnsi="Times New Roman CYR"/>
          <w:color w:val="000000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</w:r>
      <w:r>
        <w:rPr>
          <w:rFonts w:ascii="Times New Roman CYR" w:hAnsi="Times New Roman CYR"/>
          <w:color w:val="000000"/>
          <w:sz w:val="28"/>
          <w:szCs w:val="28"/>
        </w:rPr>
      </w:r>
      <w:r>
        <w:rPr>
          <w:rFonts w:ascii="Times New Roman CYR" w:hAnsi="Times New Roman CYR"/>
          <w:color w:val="000000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</w:r>
      <w:r>
        <w:rPr>
          <w:rFonts w:ascii="Times New Roman CYR" w:hAnsi="Times New Roman CYR"/>
          <w:color w:val="000000"/>
          <w:sz w:val="28"/>
          <w:szCs w:val="28"/>
        </w:rPr>
      </w:r>
      <w:r>
        <w:rPr>
          <w:rFonts w:ascii="Times New Roman CYR" w:hAnsi="Times New Roman CYR"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Нефтеюганска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Ю.В.Чекунов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pPr w:horzAnchor="margin" w:tblpXSpec="right" w:vertAnchor="text" w:tblpY="10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4217"/>
      </w:tblGrid>
      <w:tr>
        <w:tblPrEx/>
        <w:trPr/>
        <w:tc>
          <w:tcPr>
            <w:shd w:val="clear" w:color="auto" w:fill="auto"/>
            <w:tcW w:w="42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Courier New"/>
                <w:color w:val="ff0000"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к постановлению 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администрации города 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________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____№___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  <w:t xml:space="preserve">__</w:t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  <w:t xml:space="preserve">Реестр муниципальных услуг м</w:t>
      </w:r>
      <w:r>
        <w:rPr>
          <w:rFonts w:ascii="Times New Roman" w:hAnsi="Times New Roman" w:eastAsia="Calibri"/>
          <w:sz w:val="28"/>
          <w:szCs w:val="28"/>
          <w:lang w:eastAsia="ru-RU"/>
        </w:rPr>
        <w:t xml:space="preserve">униципального образования город Нефтеюганск</w:t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0"/>
          <w:szCs w:val="20"/>
          <w:lang w:eastAsia="ru-RU"/>
        </w:rPr>
      </w:pPr>
      <w:r>
        <w:rPr>
          <w:rFonts w:ascii="Times New Roman" w:hAnsi="Times New Roman" w:eastAsia="Calibri"/>
          <w:sz w:val="20"/>
          <w:szCs w:val="20"/>
          <w:lang w:eastAsia="ru-RU"/>
        </w:rPr>
      </w:r>
      <w:r>
        <w:rPr>
          <w:rFonts w:ascii="Times New Roman" w:hAnsi="Times New Roman" w:eastAsia="Calibri"/>
          <w:sz w:val="20"/>
          <w:szCs w:val="20"/>
          <w:lang w:eastAsia="ru-RU"/>
        </w:rPr>
      </w:r>
      <w:r>
        <w:rPr>
          <w:rFonts w:ascii="Times New Roman" w:hAnsi="Times New Roman" w:eastAsia="Calibri"/>
          <w:sz w:val="20"/>
          <w:szCs w:val="20"/>
          <w:lang w:eastAsia="ru-RU"/>
        </w:rPr>
      </w:r>
    </w:p>
    <w:tbl>
      <w:tblPr>
        <w:tblW w:w="1546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17"/>
        <w:gridCol w:w="18"/>
        <w:gridCol w:w="2818"/>
        <w:gridCol w:w="17"/>
        <w:gridCol w:w="2126"/>
        <w:gridCol w:w="2127"/>
        <w:gridCol w:w="2268"/>
        <w:gridCol w:w="2409"/>
        <w:gridCol w:w="9"/>
      </w:tblGrid>
      <w:tr>
        <w:tblPrEx/>
        <w:trPr>
          <w:trHeight w:val="17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Наименование муниципальной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Содержание муниципальной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Главный распорядитель бюджетных средств, ответственный за организацию предоставления муниципальной 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Получатель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Структурное подразделение, орган администрации города, учреждение, организация, ответственное за непосредственное  предоставление 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Наименование услуги, которая является необходимой и обязательной для предоставления муниципальной услуги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Муниципальные услуги, предоставляемые администрацией города Нефтеюганска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сфере архивного дела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архивных справок, архивных выписок, копий архивных документов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 основании заявлений граждан, учреждений, организаций, претендующих на получение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архивных справок, архивных выписок, копий архивных документов, подтверждающих стаж работы, заработную плату, исторических сведений, осуществляется выдача копий архивных документов для любых законных целей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связанных с социальной защитой граждан, предусматривающей их пенсионное обеспечение, а также получение льгот и компенсаций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города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по делам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Приём и хранение документов физических и юридических лиц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и юридические лица, обратившиеся в отдел по делам архивов департамента по делам администрации города Нефтеюганска, передают на хранение в вышеуказ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анный отдел документы постоянного срока хранения, документы по личному составу, документы личного происхождения. Отдел по делам архивов  департамента по делам администрации города Нефтеюганска обеспечивает их приём и хранение в соответствии с нормативными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условиями хранения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города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Физические и (или) юридические лица, в процессе деятельности которых образуются документы Архивного фонда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по делам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Получение архивных документов для земли и строительства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 предоставление копий архивных документов, </w:t>
            </w:r>
            <w:r>
              <w:rPr>
                <w:sz w:val="24"/>
                <w:szCs w:val="24"/>
              </w:rPr>
              <w:t xml:space="preserve"> в сфере строительства и земли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сфере жилищно-коммунального комплекса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информации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 предоставляет информацию о порядке предоставления жилищно-коммунальных услуг населению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разрешений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вырубки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зеленых насаждений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услуга предполагает выдачу разрешений на  вырубку или пересадку зеленых  насаждений, расположенных на территории города Нефтеюганска, за исключением городских лесов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сфере жилищных отношений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Согласование проведения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переустройства и (или) перепланировки  помещения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многоквартирном доме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Согласование проведения работ по переустройству и (или) перепланировке помещения в многоквартирном доме.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и (или) юридические лица - собственники жилых  помещений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в установленном порядке проекта переустройства и (или) перепланировка переустраиваемого и (или)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перепланируемого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помещения в многоквартирном доме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Перевод жилого помещения в нежилое и нежилого помещения в жилое помещение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Изменение назначения жилого помещения в нежилое или нежилого помещения в жилое помещение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и (или) юридические лица - собственники жилых (нежилых)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в установленном порядке проекта переустройства и (или)  перепланировки переводимого помещения в многоквартирном доме (в случае, если переустройство и (или) перепланировка требуется для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обеспечения использования такого помещения в качестве жилого или нежилого помещения)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услуга предполагает признание помещения жилым, жилого помещения непригодным для проживания, а также многоквартирного дома аварийным и подлежащим сносу или реконструкции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и (или) юридические лица - собственники жилых (нежилых)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Признание садового дома жилым домом и жилого дома садовым домом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услуга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предполагает признание садового дома жилым домом и жилого дома садовым домом с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заявителю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соответствующего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о признании садового дома жилым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домом или жилого дома садовым домом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изические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и юридически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лица, являющимся собственниками жилых и садовых домов, расположенных на территории муниципального образования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город Нефтеюганск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1"/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105"/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учёт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качестве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нуждающихся в жилых помещениях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осуществляет приём заявлений, документов и постановку на учёт граждан, отнесённых к категории малоимущих и признаваемых нуждающимися в жилых помещениях,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предоставляемых по договорам социального найма из муниципального жилищного фонда. Для принятия на учёт в качестве нуждающихся в жилых помещениях, предоставляемых по договорам социального найма, граждане подают в департамент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заявление 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принятии их на учёт с приложением соответствующих документов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Признание граждан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малоимущими в целях постановки на учет граждан в качестве нуждающихся в жилых помещениях, предоставляемых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 договорам социального найма из муниципального жилищного фонда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администрации города предоставляет информацию об очередности предоставления жилых помещений на условиях социального найма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жилых помещений муниципального жилищного фонда коммерческого использования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администрации города осуществляет представление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жилы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муниципального жилищного фонда коммерческого использования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Граждане, состоящие в трудовых отношениях с территориальными государственными органами власти, муниципальными учреждениями или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предприятиями города Нефтеюганска, бюджетными учреждениями здравоохранения Ханты-Мансийского автономного округа – Югры, не обеспеченными жилыми помещениями в городе Нефтеюганске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жилых помещений  муниципального специализированного жилищного фонда по договорам найма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ind w:firstLine="34"/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адм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страции города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осуществляет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договорам найма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согласия и оформление документов по обмену жилыми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помещениями  по договорам  социального найма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города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осуществляет выдачу документов и оформление согласия  на обмен  жилых помещений по договорам социального найма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города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являющиеся нанимателями жилых помещений по договорам социального найма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города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 с нанимателем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осуществляет выдачу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Федерации, являющиеся нанимателями жилых помещений по договорам социального найма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Передача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осуществляет бесплатную передачу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гражданам в порядке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приватизации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жилых помещений жилищного фонда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Передача гражданами в муниципальную собственность приватизированных жилых помещений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администрации города Нефтеюганска осуществляет прием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муниципальную собственность приватизированных жилых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от граждан города Нефтеюганска, являющихся собственниками данных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 администрации города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жилого помещения по договору социального найма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муниципального имущества администрации города Нефтеюганска осуществляет предоставление жилых помещений по договорам социального найма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Граждане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имущества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сфере земельных отношений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 прекращение права постоянного (бессрочного) пользования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земельными участками, находящимися в муниципальной или государственной собственности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Выдача разрешения на использование земель или земельного участка, которые находятся в государственной или муниципальной собственности,  без предоставления  земельных участков и установления сервитута, публичного сервитута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услуга предполагает предоставление разрешения на использование земель или земельного участка, которые находятся в государственной или муниципальной собственности, без предоставления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земельных участков и установления сервитута, публичного сервитута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Утверждение схемы расположения земельного участка или  земельных участков на кадастровом плане территории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 подготовку и утверждение схемы расположения </w:t>
            </w:r>
            <w:r>
              <w:rPr>
                <w:sz w:val="24"/>
                <w:szCs w:val="24"/>
              </w:rPr>
              <w:t xml:space="preserve">земельного или </w:t>
            </w:r>
            <w:r>
              <w:rPr>
                <w:sz w:val="24"/>
                <w:szCs w:val="24"/>
              </w:rPr>
              <w:t xml:space="preserve">земельных участков, а также выдачу схемы расположения</w:t>
            </w:r>
            <w:r>
              <w:rPr>
                <w:sz w:val="24"/>
                <w:szCs w:val="24"/>
              </w:rPr>
              <w:t xml:space="preserve"> земельного или</w:t>
            </w:r>
            <w:r>
              <w:rPr>
                <w:sz w:val="24"/>
                <w:szCs w:val="24"/>
              </w:rPr>
              <w:t xml:space="preserve"> земельных участков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лица, индивидуальные предприниматели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Предварительное согласование предоставления земельного участка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 предварительное согласование предоставления земельн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земельн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ого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участк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находящ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егося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муниципальной собственности или государственная  собственность на которы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не разграничена, на торгах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 предоставление земельн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, находящ</w:t>
            </w:r>
            <w:r>
              <w:rPr>
                <w:sz w:val="24"/>
                <w:szCs w:val="24"/>
              </w:rPr>
              <w:t xml:space="preserve">егося</w:t>
            </w:r>
            <w:r>
              <w:rPr>
                <w:sz w:val="24"/>
                <w:szCs w:val="24"/>
              </w:rPr>
              <w:t xml:space="preserve"> в муниципальной или государственной собственности, на торгах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pStyle w:val="870"/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Установление сервитута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(публичного сервитута)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отношении земельного участка, находящегося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государственной или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муниципальной собственности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 осуществляет установление сервитута (публичного сервитута) в отношении земельного участка, находящегося в государственной или муниципальной собственности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Перераспределение земель и (или) земельных участков, находящихся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государственной или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муниципальной собственности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и земельных участков, находящихся в частной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мент градостроительства и земельных отношений администрации города  осуществляет перераспределение земель и (или) земельных  участков, находящихся в государственной или муниципальной собственности, и земельных участков, находящихся в частной  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остановка граждан  на учет в качестве лиц, имеющих право на предоставление земельных участков в собственность бесплатно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услуга предполагает</w:t>
            </w:r>
            <w:r>
              <w:rPr>
                <w:sz w:val="24"/>
                <w:szCs w:val="24"/>
              </w:rPr>
              <w:t xml:space="preserve"> постановку  на учет граждан проживающих не менее 5 лет на территории ХМАО-Югры, относящие к отдельным категориям для предоставления земельных участков в собственность бесплатно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лица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 собственности, без проведения торгов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услуга предполагает предоставление земельных участков, находящихся в муниципальной собственности или государственная собственность на которые не разграничена, в собственность либо аренду без проведения торгов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участка, находящегося  в государственной или муниципальной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pStyle w:val="87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услуга предполагает предоставление земельн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находящ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егося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собственности,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гражданину или юридическому лицу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бесплатно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4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сфере строительства, архитектуры и градостроительной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1.29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разрешения на строительство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объекта капитального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Документ,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который подтверждает соответствие проектной документации требованиям, установленным градостроител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ьным регламентом (за исключением случая, предусмотренного Градостроительным кодексом Российской Федерации), проектом планировки территории и проектом межевания территории (за исключением случаев, если в соответствии с настоящим Кодексом подготовка проекта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планировки территории и проекта межевания территории не требуется), при осуществлении строительства, реконструкции объекта капитального строительства, не являющегося линейным объектом, или требованиям, установленным 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роектом планировки территории и проектом межевания территории, при осуществлении строительства, реконструкции линейного объекта (за исключением случаев, при которых для строительства, реконструкции линейного объекта не требуется подготовка документации по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планировке территории), требованиям, установленным проектом планировки территории,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допустимость размеще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 и дающий застройщику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право осуществлять строительство, реконструкцию объектов капитального строительства, за исключением случаев, предусмотренных настоящим Кодексом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материалов, содержащихся в проектной документации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разрешения на ввод объекта в эксплуатацию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Документ, который удостоверяет выполнение строительства,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реконструкции объекта капитального строительства в полном объеме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проекту планировки 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ерритории в случае выдачи разрешения на ввод в эксплуатацию линейного объекта, для размещения которого не требуется образование земельного участка, а также ограничениям, установленным в соответствии с земельным и иным законодательством Российской Федерации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акта приемки объекта капитального строительства (в случае осуществления строительства, реконструкции на основании договора);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схемы, отображающей расположение построенного, реконструированного объекта капитального строительства, расположение сетей инженерно-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технического обеспечения в границах земельного участка и планировочную организацию земельного участка и подписанную лицом,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документа, подтверждающего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оснащенности объекта капитального строительства приборами учета используемых энергетических ресурсов, и подписанный лицом, осуществляющим стр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контроля на основании договора), за исключением случаев осуществления строительства, реконструкции объектов индивидуального жилищного строительства.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технического обеспечения (при их наличии)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разрешения на отклонение от предельных параметров разрешённого строительства, реконструкци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Разрешение на отклонение от предельных параметров разрешённого строительства, реконструкцию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Разрешение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градостроительного плана земельного участка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Документ, необходимый для подготовки проектной документации, получения разрешения на строительство, реконструкцию объектов капитального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строительства и на ввод объектов в эксплуатацию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или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технических условий подключения (технологического присоединения) объектов капитального строительства к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сетям инженерно-технического обеспечения.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Акт,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капитала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сведений,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документов и материалов,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содержащихся в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информационн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ых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обеспечения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градостроительной деятельности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сведений, содержащихся в информационной системе обеспечения градостроительной деятельности города Нефтеюганска,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физическим и (или) юридическим лицам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Присвоение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адреса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объекту адресации,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изменение 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аннулирование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такого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адреса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Присвоение объектам адресации адреса, изменение и аннулирование такого адреса с использованием федеральной информационной адресной системы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установку и эксплуатацию рекламных конструкций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соответствующей территории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аннулирование так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разрешени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разрешения на установку и эксплуатацию рекламных конструкций на соответствующей территории города Нефтеюганска, аннулирование такого разрешения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градостроительства и земельных отношений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Нефтеюганска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градостроительства и земельных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отношений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Нефтеюганска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архитектурного проекта рекламной конструкции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1.38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Направление уведомления о соответствии  указанных в уведомлении о планируемом строительстве параметров объекта индивидуального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жилищного строительства или садового дома установленным параметрам и допустимости  размещения объекта индивидуального жилищного строительства или садового дома на земельном участке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Департаментом градостроительства и земельных отношений администрации города осуществляется направление уведомления о соответствии объекта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индивидуального жилищного строительства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или садового дома установленным параметрам допустимости размещения объекта индивидуального жилищного строительства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или садового дома на земельном участке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1.39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градостроительной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Департаментом градостроительства и земельных отношений администрации города осуществляется направление уведомления о соответствии построенных или реконструированных  объектов индивидуального жилищного строительства или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садового дома требованиям законодательства Российской Федерации о градостроительной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1.40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Установка информационной вывески, согласование дизайн-проекта размещения вывески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Департаментом градостроительства и земельных отношений администрации города осуществляется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согласование дизайн-проекта размещения вывески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(или) индивидуальные предприниматели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архитектурного проекта рекламной конструкции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1.41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 администрации города обеспечивает  размещения уведомления о планируемом сносе и документов, необходимых для предоставления муниципальной услуги, в государственной информационной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системе обеспечения градостроительной деятельности 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и (или) юридические лица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Подготовка и утверждение документации по планировке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Департаментом градостроительства и земельных отношений администрации города осуществляется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принятие решения 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подготовке документации по планировке 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(проекта планировки территории и проекта межевания территории/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межевания территории);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решени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 подготовке документации по внесению изменений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документацию по планировке территории (проект планировки территории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межевания территории/ проект межевания территории);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решени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об утверждении документации по планировке 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(проекта планировки территории и проекта межевания территории/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межевания территории);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решени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 внесении изменений в документацию по 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территории (проект планировки территории и проект межевания территории/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проекта межевания территории)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(или) юридические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Согласование архитектурно-градостроительного облика объекта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ом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градостроительства и земельных отношений администрации города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осуществляется согласование архитектурно-градостроительного облика объекта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индивидуальные предприниматели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Предоставление разрешения на осуществление земляных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Муниципальная услуг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 предполагает получение разрешения на производство земляных работ; на производство земляных работ в связи с аварийно-восстановительными работами; продление разрешения на право производства земляных работ; закрытие разрешения на производства земляных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индивидуальные предприниматели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распоряжения муниципальным имуществом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информации об объектах учета, содержащейся  в реестре имущества субъекта Российской Федерации, об объектах  учета из реестра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муниципального имущества  администрации города предоставляет информацию об объектах учета, содержащуюся в реестре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муниципального имущества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муниципального имущества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Передача в аренду, безвозмездное пользование имущества,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находящегося в собственности муниципального образования, за исключением земельных участков и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Передача в аренду, безвозмездное пользование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физическим или юридическим лицам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муниципального имущества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7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муниципального имущества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сфере природопользования и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регистрация заявлений о проведении общественной экологической экспертизы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Муниципальная услуга предполагает государственную регистрацию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департаментом жилищно-коммунального хозяйства заявлений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о проведении общественной экологической экспертизы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Общественные организации (объединения), основным направлением деятельности которых в соответствии с их уставами является охрана окружающей среды, в том числе организация и проведение экологической экспертизы, 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которые зарегистрированы в порядке,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1.48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Проведение муниципальной экспертизы проектов освоения лесов, расположенных на землях, находящихся в муниципальной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проводит экспертизу проектов освоения лесов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46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транспортного обслуживания и дорожной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Предоставление  информации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пользователям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физическим и (или) юридическим лицам – пользователям автомобильных дорог общего пользования  информации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дополнительной социальной поддержки отдельным категориям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граждан в виде бесплатного проезда в общественном транспорте на территории города Нефтеюганска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права на бесплатный проезд: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в автомобильном городском пассажирском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транспорте общего пользования (за исключением такси);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в автомобильном городском пассажирском транспорте общего пользования по ежегодным сезонным дачным маршрутам (за исключением такси)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Неработающие граждане РФ, являющиеся получателями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трудовых пенсий по старости, зарегистрированные и проживающие в городе Нефтеюганске;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-лица, которым присвоено звание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Почетный гражданин города Нефтеюганска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-дети-инвалиды, инвалиды I и II групп и инвалиды, не имеющие трудового стажа, зарегистрированные и проживающие в городе Нефтеюганске;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-лица, сопровождающие детей-инвалидов в возрасте до 18 лет, зарегистрированн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ые и проживающие в городе Нефтеюганске;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-учащиеся образовательных организаций начального общего, основного общего,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жилищно-коммунального хозяйства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Выдача разрешений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привязанных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аэростатов над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населенными пунктами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а также на посадку (взлет) на расположенные в границах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населенных пунктов площадки, сведения о которых не опубликованы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документах аэронавигационной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территорией муниципального образования город Нефтеюганск, а также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посадку (взлет) на расположенные в границах 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образования город Нефтеюганск площадки, сведения о которых не опубликованы в документах аэронавигационной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Департамент жилищно-коммунального хозяйства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образования и организации отдыха детей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стано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вка на учет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детей в образовательные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учреждения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реализующие  образовательн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дошкольного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Постановка детей, имеющих право на получение дошкольного образования в очередь для предоставления места и выдача заявителю уведомления о постановке ребенка в очередь, зачисление в образовательную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организацию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Родители, опекуны или иные законные представители ребенка, имеющего право на получение дошкольного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образования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6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детей в каникулярное время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и оздоровления детей города Нефтеюганска в каникулярное время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Дети в возрасте от 6 до 17 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(включительно)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семьи и материнства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Выдача разрешения на вступление в брак несовершеннолетним лицам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Выдача разрешения на вступление в брак несовершеннолетним лицам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жителям города Нефтеюганска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Администрация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Отдел записи актов гражданского состояния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осуществления предпринимательской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Выдача разрешения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право организации розничного рынка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Документ, подтверждающий право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розничного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Администрация города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Юридические лица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Департамент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экономического развития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трудового законодательства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Уведомительная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егистрация трудового договора, заключаемого между работником и работодателем – физическим лицом, не являющимся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индивидуальным предпринимателем, изменений в трудовой договор, факта прекращения трудового договора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Уведомительная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егистрация трудового договора (изменений в трудовой договор), заключенного работником с работодателем -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физическим лицом, не являющимся индивидуальным предпринимателем, которая осуществляе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тся путем внесения соответствующей записи в журнал регистрации трудовых договоров и присвоения трудовому договору (изменениям в трудовой договор) регистрационного номера, проставления на трудовом договоре (изменениям в трудовой договор) специального штампа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Администрация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Работодатели – физические лица, не являющиеся индивидуальными предпринимателями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экономического развития администрации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налогового законодательства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Дача письменных разъяснений  налогоплательщикам и налоговым агентам по вопросам применения нормативных правовых актов муниципального образования город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Нефтеюганск о местных налогах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информации (разъяснений) физическим и юридическим лица по вопросам применения муниципальных нормативных правовых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актов  муниципального образования город Нефтеюганск о местных налогах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области спорта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Присвоение квалификационных категорий спортивных судей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Комитетом физической культуры и спорта администрации города  осуществляется присвоение 2 или 3 квалификационной категории спортивных судей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физической культуры и спорта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физической культуры и спорта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Присвоение спортивных разрядов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Комитетом физической культуры и спорта администрации города  осуществляется присвоение 2 или 3 спортивного разряда спортсменам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физической культуры и спорта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физической культуры и спорта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 сфере погребения и похоронного дела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Предоставление  мест  для захоронения и их учет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Департаментом жилищно-коммунального хозяйства администрации города осуществляется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а) предоставление места для захоронения под погребение умершего на новом месте;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предоставление места для захоронения под погребение умершего на ранее предоставленном месте;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в) выдача разрешения на проведение перезахоронения останков умершего;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г) получение сведений из реестра мест захоронений;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д) внесение изменений в реестр мест захоронений.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индивидуальные предприниматели,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1.61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Регистрация работ с намогильными сооружениями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рамках муниципальной услуги осуществляется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регистрация установки, демонтажа, замены намогильных сооружений с использованием цифрового паспорта кладбищ 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картографической подосновы;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получени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сведений о намогильных сооружениях из реестра;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внесени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изменений в сведения о намогильных сооружениях в реестр.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лица, индивидуальные предприниматели,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1.62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Включение в реестр поставщиков похоронных товаров и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Департаментом жилищно-коммунального хозяйства осуществляется включение в реестр поставщиков похоронных товаров и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предоставляется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выписка из реестра поставщ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иков похоронных товаров и услуг;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внесении изменений в реестр поставщиков похоронных товаров и услуг –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предоставляется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актуализированная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выписка из реестра поставщиков похоронных товаров и услуг или уведомление о выходе из реестра поставщиков похоронных товаров и услуг;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мотивированное решение об отказе в приёме документов или в предоставлении муниципальной услуги.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ндивидуальные предприниматели,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1.63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Уход за местом захоронения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результате представления муниципальной услуги Департаментом жилищно-коммунального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хозяйства  администрации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города предоставляются следующие документы: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сведени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 выполне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нных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работах/вариантах услуги (перечень, даты, объём, адрес объекта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(участка захоронения), другие сведения при необходимости);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выполненных работ (при необходимости, с приложением фотоотчёта либо иного визуального отчёта о состоянии участка до и после выполненных работ);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решени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/уведомлени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 отказе в предоставлении услуги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лица, индивидуальные предприниматели,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9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Муниципальные услуги, предоставляемые  муниципальными учреждениями и другими организациями, в которых размещается муниципальное задание (заказ), выполняемое (выполняемый) за счёт средств местного бюджета и предоставляемое в электронной форме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Запись на обучение по дополнительной общеобразовательной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Муниципальными учреждениями города осуществляется запись на обучение по дополнительной общеобразовательной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 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лица-родители (законные представители) несовершеннолетних граждан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несовершеннолетние граждане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Прием заявлений о зачислении в государственные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муниципальные образовательные организации субъектов Российской Федерации, реализующие программы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pStyle w:val="89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Принятое решение: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-о зачислении в образовательную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организацию, а также выдача (направление) заявителю уведомления с соответствующим решением.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9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Граждане Российской Федерации,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постоянно проживающие на территории Российской Федерации, 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так же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временно проживающие в Российской Федерации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0"/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иностранные граждане и лица без гражданства, в том числе являющиеся родителями (законными представителями) несовершеннолетних граждан.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Получатели начального общего образования в образовательных организациях - дети возраста шести лет шести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месяцев при отсутствии противопоказаний по состоянию здоровья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Муниципальные 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информации о результатах сданных экзаменов, результатах тестирования и иных вступительных испытаний, а также о зачислении в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 по запросу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 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лица, сдавшие экзамены, тестирования и иные вступительные испытания, их родители (законные представители) а также уполномоченные представители указанных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Муниципальные 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детей в каникулярное время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города Нефтеюганска в каникулярное время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физической культуры и спорта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возрасте от 6 до 17 лет (включительно)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Муниципальные учреждения, подведомственные департаменту образования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Муниципальные учреждения, подведомственные комитету физической культуры и спорта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доступа к оцифрованным изданиям, хранящимся в библиотеках,  в том числе к фонду редких книг, с учётом соблюдения требований  законодательства Российской Федерации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 авторских и смежных правах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Организация и обеспечение доступа к изданиям, переведённым в электронный вид, хранящимся в  библиотеке города Нефтеюганска, в том числе к фонду редких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«Городская библиотека»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Предоставление доступа к справочно-поисковому аппарату библиотек, базам данных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Организация и обеспечение по обращению (запросу) физических и (или) юридических лиц доступа к справочно-поисковому аппарату библиотек, базам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«Городская библиотека»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Организация размещения информации о времени и месте театральных пред</w:t>
            </w:r>
            <w:r>
              <w:rPr>
                <w:rFonts w:ascii="Times New Roman" w:hAnsi="Times New Roman"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ставлений, филармонических и эстрадных концертов и гастрольных мероприятий театров и филармоний, киносеансов, анонсы данных мероприятий в средствах массовой информации, в сети Интернет,  а также посредством размещения афиш на территории города Нефтеюганска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учреждение культуры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еатр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укол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 Актера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«Волшебная флейта», муниципальное бюджетное учреждение культуры «Культурно-досуговый комплекс»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Запись на обзорные тематические и интерактивные экскурсии</w:t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Запись на экскурсию в муниципальное учреждение, подведомственное комитету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Нефтеюганское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городское муниципальное автономное  учреждение культуры «Историко-художественный музейный комплекс»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765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Зачисление в муниципальное образовательное учреждение дополнительного образования в сфере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836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Прием заявления для зачисления детей в муниципальное учреждение дополнительного образования (детская школа искусств, детская музыкальная школа), подведомственные комитету культуры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и туризма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города Нефтеюганска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143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культуры и туризма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Физические и (или) юридические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Муниципальное бюджетное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чреждения дополнительного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«Детская школа искусств»,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муниципальное бюджетное 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чреждения дополнительного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«Детская музыкальная школа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им.В.В.Андреева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4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tabs>
                <w:tab w:val="left" w:pos="162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lang w:eastAsia="ru-RU"/>
        </w:rPr>
        <w:sectPr>
          <w:footnotePr/>
          <w:endnotePr/>
          <w:type w:val="nextPage"/>
          <w:pgSz w:w="16838" w:h="11906" w:orient="landscape"/>
          <w:pgMar w:top="993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6"/>
          <w:szCs w:val="26"/>
          <w:lang w:eastAsia="ru-RU"/>
        </w:rPr>
      </w:pPr>
      <w:r>
        <w:rPr>
          <w:rFonts w:ascii="Times New Roman" w:hAnsi="Times New Roman" w:eastAsia="Calibri"/>
          <w:sz w:val="26"/>
          <w:szCs w:val="26"/>
          <w:lang w:eastAsia="ru-RU"/>
        </w:rPr>
      </w:r>
      <w:r>
        <w:rPr>
          <w:rFonts w:ascii="Times New Roman" w:hAnsi="Times New Roman" w:eastAsia="Calibri"/>
          <w:sz w:val="26"/>
          <w:szCs w:val="26"/>
          <w:lang w:eastAsia="ru-RU"/>
        </w:rPr>
      </w:r>
      <w:r>
        <w:rPr>
          <w:rFonts w:ascii="Times New Roman" w:hAnsi="Times New Roman" w:eastAsia="Calibri"/>
          <w:sz w:val="26"/>
          <w:szCs w:val="26"/>
          <w:lang w:eastAsia="ru-RU"/>
        </w:rPr>
      </w:r>
    </w:p>
    <w:sectPr>
      <w:footnotePr/>
      <w:endnotePr/>
      <w:type w:val="nextPage"/>
      <w:pgSz w:w="11906" w:h="16838" w:orient="portrait"/>
      <w:pgMar w:top="709" w:right="567" w:bottom="709" w:left="1701" w:header="709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 CYR">
    <w:panose1 w:val="02020603050405020304"/>
  </w:font>
  <w:font w:name="Verdana">
    <w:panose1 w:val="020B0604030504040204"/>
  </w:font>
  <w:font w:name="Courier New">
    <w:panose1 w:val="020703090202050204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2202971"/>
      <w:docPartObj>
        <w:docPartGallery w:val="Page Numbers (Top of Page)"/>
        <w:docPartUnique w:val="true"/>
      </w:docPartObj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2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84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855"/>
    <w:link w:val="853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5"/>
    <w:link w:val="85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basedOn w:val="855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5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5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5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2"/>
    <w:next w:val="852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5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2"/>
    <w:next w:val="852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5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Title"/>
    <w:basedOn w:val="852"/>
    <w:next w:val="852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5"/>
    <w:link w:val="700"/>
    <w:uiPriority w:val="10"/>
    <w:rPr>
      <w:sz w:val="48"/>
      <w:szCs w:val="48"/>
    </w:rPr>
  </w:style>
  <w:style w:type="paragraph" w:styleId="702">
    <w:name w:val="Subtitle"/>
    <w:basedOn w:val="852"/>
    <w:next w:val="852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5"/>
    <w:link w:val="702"/>
    <w:uiPriority w:val="11"/>
    <w:rPr>
      <w:sz w:val="24"/>
      <w:szCs w:val="24"/>
    </w:rPr>
  </w:style>
  <w:style w:type="paragraph" w:styleId="704">
    <w:name w:val="Quote"/>
    <w:basedOn w:val="852"/>
    <w:next w:val="852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2"/>
    <w:next w:val="852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5"/>
    <w:link w:val="865"/>
    <w:uiPriority w:val="99"/>
  </w:style>
  <w:style w:type="character" w:styleId="709">
    <w:name w:val="Footer Char"/>
    <w:basedOn w:val="855"/>
    <w:link w:val="868"/>
    <w:uiPriority w:val="99"/>
  </w:style>
  <w:style w:type="paragraph" w:styleId="710">
    <w:name w:val="Caption"/>
    <w:basedOn w:val="852"/>
    <w:next w:val="852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855"/>
    <w:link w:val="710"/>
    <w:uiPriority w:val="35"/>
    <w:rPr>
      <w:b/>
      <w:bCs/>
      <w:color w:val="4f81bd" w:themeColor="accent1"/>
      <w:sz w:val="18"/>
      <w:szCs w:val="18"/>
    </w:rPr>
  </w:style>
  <w:style w:type="table" w:styleId="712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7">
    <w:name w:val="Footnote Text Char"/>
    <w:link w:val="879"/>
    <w:uiPriority w:val="99"/>
    <w:rPr>
      <w:sz w:val="18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5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pPr>
      <w:spacing w:after="200" w:line="276" w:lineRule="auto"/>
    </w:pPr>
    <w:rPr>
      <w:rFonts w:ascii="Calibri" w:hAnsi="Calibri" w:eastAsia="Times New Roman" w:cs="Times New Roman"/>
    </w:rPr>
  </w:style>
  <w:style w:type="paragraph" w:styleId="853">
    <w:name w:val="Heading 1"/>
    <w:basedOn w:val="852"/>
    <w:next w:val="852"/>
    <w:link w:val="858"/>
    <w:uiPriority w:val="9"/>
    <w:qFormat/>
    <w:pPr>
      <w:keepNext/>
      <w:spacing w:before="240" w:after="60" w:line="240" w:lineRule="auto"/>
      <w:outlineLvl w:val="0"/>
    </w:pPr>
    <w:rPr>
      <w:rFonts w:ascii="Cambria" w:hAnsi="Cambria"/>
      <w:b/>
      <w:bCs/>
      <w:sz w:val="32"/>
      <w:szCs w:val="32"/>
      <w:lang w:eastAsia="ru-RU"/>
    </w:rPr>
  </w:style>
  <w:style w:type="paragraph" w:styleId="854">
    <w:name w:val="Heading 2"/>
    <w:basedOn w:val="852"/>
    <w:next w:val="852"/>
    <w:link w:val="85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character" w:styleId="858" w:customStyle="1">
    <w:name w:val="Заголовок 1 Знак"/>
    <w:basedOn w:val="855"/>
    <w:link w:val="853"/>
    <w:uiPriority w:val="9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59" w:customStyle="1">
    <w:name w:val="Заголовок 2 Знак"/>
    <w:basedOn w:val="855"/>
    <w:link w:val="854"/>
    <w:rPr>
      <w:rFonts w:ascii="Arial" w:hAnsi="Arial" w:eastAsia="Times New Roman" w:cs="Times New Roman"/>
      <w:b/>
      <w:i/>
      <w:sz w:val="28"/>
      <w:szCs w:val="20"/>
      <w:lang w:eastAsia="ru-RU"/>
    </w:rPr>
  </w:style>
  <w:style w:type="character" w:styleId="860">
    <w:name w:val="Strong"/>
    <w:qFormat/>
    <w:rPr>
      <w:b/>
      <w:bCs/>
    </w:rPr>
  </w:style>
  <w:style w:type="paragraph" w:styleId="861" w:customStyle="1">
    <w:name w:val="ConsPlusNonformat"/>
    <w:pPr>
      <w:spacing w:after="0" w:line="240" w:lineRule="auto"/>
      <w:widowControl w:val="off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862" w:customStyle="1">
    <w:name w:val="Основной текст 21"/>
    <w:basedOn w:val="852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styleId="863" w:customStyle="1">
    <w:name w:val="Знак Знак Знак Знак Знак Знак Знак Знак Знак Знак Знак Знак Знак"/>
    <w:basedOn w:val="85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864" w:customStyle="1">
    <w:name w:val="ConsPlusCell"/>
    <w:pPr>
      <w:spacing w:after="0" w:line="240" w:lineRule="auto"/>
      <w:widowControl w:val="off"/>
    </w:pPr>
    <w:rPr>
      <w:rFonts w:ascii="Arial" w:hAnsi="Arial" w:eastAsia="Calibri" w:cs="Arial"/>
      <w:sz w:val="20"/>
      <w:szCs w:val="20"/>
      <w:lang w:eastAsia="ru-RU"/>
    </w:rPr>
  </w:style>
  <w:style w:type="paragraph" w:styleId="865">
    <w:name w:val="Header"/>
    <w:basedOn w:val="852"/>
    <w:link w:val="866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5"/>
    <w:link w:val="865"/>
    <w:uiPriority w:val="99"/>
    <w:rPr>
      <w:rFonts w:ascii="Calibri" w:hAnsi="Calibri" w:eastAsia="Times New Roman" w:cs="Times New Roman"/>
    </w:rPr>
  </w:style>
  <w:style w:type="character" w:styleId="867">
    <w:name w:val="page number"/>
    <w:basedOn w:val="855"/>
  </w:style>
  <w:style w:type="paragraph" w:styleId="868">
    <w:name w:val="Footer"/>
    <w:basedOn w:val="852"/>
    <w:link w:val="869"/>
    <w:uiPriority w:val="99"/>
    <w:pPr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55"/>
    <w:link w:val="868"/>
    <w:uiPriority w:val="99"/>
    <w:rPr>
      <w:rFonts w:ascii="Calibri" w:hAnsi="Calibri" w:eastAsia="Times New Roman" w:cs="Times New Roman"/>
    </w:rPr>
  </w:style>
  <w:style w:type="paragraph" w:styleId="870" w:customStyle="1">
    <w:name w:val="ConsPlusNormal"/>
    <w:pPr>
      <w:spacing w:after="0" w:line="240" w:lineRule="auto"/>
    </w:pPr>
    <w:rPr>
      <w:rFonts w:ascii="Times New Roman CYR" w:hAnsi="Times New Roman CYR" w:eastAsia="Times New Roman" w:cs="Times New Roman CYR"/>
      <w:sz w:val="28"/>
      <w:szCs w:val="28"/>
      <w:lang w:eastAsia="ru-RU"/>
    </w:rPr>
  </w:style>
  <w:style w:type="paragraph" w:styleId="871">
    <w:name w:val="Balloon Text"/>
    <w:basedOn w:val="852"/>
    <w:link w:val="872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5"/>
    <w:link w:val="871"/>
    <w:uiPriority w:val="99"/>
    <w:rPr>
      <w:rFonts w:ascii="Tahoma" w:hAnsi="Tahoma" w:eastAsia="Times New Roman" w:cs="Tahoma"/>
      <w:sz w:val="16"/>
      <w:szCs w:val="16"/>
    </w:rPr>
  </w:style>
  <w:style w:type="table" w:styleId="873">
    <w:name w:val="Table Grid"/>
    <w:basedOn w:val="85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4">
    <w:name w:val="List Paragraph"/>
    <w:basedOn w:val="852"/>
    <w:uiPriority w:val="34"/>
    <w:qFormat/>
    <w:pPr>
      <w:contextualSpacing/>
      <w:ind w:left="720"/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styleId="875">
    <w:name w:val="HTML Preformatted"/>
    <w:basedOn w:val="852"/>
    <w:link w:val="876"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character" w:styleId="876" w:customStyle="1">
    <w:name w:val="Стандартный HTML Знак"/>
    <w:basedOn w:val="855"/>
    <w:link w:val="875"/>
    <w:rPr>
      <w:rFonts w:ascii="Courier New" w:hAnsi="Courier New" w:eastAsia="Times New Roman" w:cs="Times New Roman"/>
      <w:sz w:val="20"/>
      <w:szCs w:val="20"/>
    </w:rPr>
  </w:style>
  <w:style w:type="paragraph" w:styleId="87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78">
    <w:name w:val="Hyperlink"/>
    <w:uiPriority w:val="99"/>
    <w:unhideWhenUsed/>
    <w:rPr>
      <w:color w:val="0563c1"/>
      <w:u w:val="single"/>
    </w:rPr>
  </w:style>
  <w:style w:type="paragraph" w:styleId="879">
    <w:name w:val="footnote text"/>
    <w:basedOn w:val="852"/>
    <w:link w:val="880"/>
    <w:uiPriority w:val="99"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80" w:customStyle="1">
    <w:name w:val="Текст сноски Знак"/>
    <w:basedOn w:val="855"/>
    <w:link w:val="879"/>
    <w:uiPriority w:val="99"/>
    <w:rPr>
      <w:rFonts w:ascii="Calibri" w:hAnsi="Calibri" w:eastAsia="Calibri" w:cs="Times New Roman"/>
      <w:sz w:val="20"/>
      <w:szCs w:val="20"/>
    </w:rPr>
  </w:style>
  <w:style w:type="character" w:styleId="881">
    <w:name w:val="footnote reference"/>
    <w:uiPriority w:val="99"/>
    <w:unhideWhenUsed/>
    <w:rPr>
      <w:vertAlign w:val="superscript"/>
    </w:rPr>
  </w:style>
  <w:style w:type="numbering" w:styleId="882" w:customStyle="1">
    <w:name w:val="Нет списка1"/>
    <w:next w:val="857"/>
    <w:uiPriority w:val="99"/>
    <w:semiHidden/>
    <w:unhideWhenUsed/>
  </w:style>
  <w:style w:type="character" w:styleId="883" w:customStyle="1">
    <w:name w:val="Font Style13"/>
    <w:rPr>
      <w:rFonts w:ascii="Times New Roman" w:hAnsi="Times New Roman"/>
      <w:sz w:val="18"/>
    </w:rPr>
  </w:style>
  <w:style w:type="paragraph" w:styleId="884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character" w:styleId="885">
    <w:name w:val="annotation reference"/>
    <w:uiPriority w:val="99"/>
    <w:unhideWhenUsed/>
    <w:rPr>
      <w:sz w:val="16"/>
      <w:szCs w:val="16"/>
    </w:rPr>
  </w:style>
  <w:style w:type="paragraph" w:styleId="886">
    <w:name w:val="annotation text"/>
    <w:basedOn w:val="852"/>
    <w:link w:val="887"/>
    <w:uiPriority w:val="99"/>
    <w:unhideWhenUsed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887" w:customStyle="1">
    <w:name w:val="Текст примечания Знак"/>
    <w:basedOn w:val="855"/>
    <w:link w:val="88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8">
    <w:name w:val="annotation subject"/>
    <w:basedOn w:val="886"/>
    <w:next w:val="886"/>
    <w:link w:val="889"/>
    <w:uiPriority w:val="99"/>
    <w:unhideWhenUsed/>
    <w:rPr>
      <w:b/>
      <w:bCs/>
    </w:rPr>
  </w:style>
  <w:style w:type="character" w:styleId="889" w:customStyle="1">
    <w:name w:val="Тема примечания Знак"/>
    <w:basedOn w:val="887"/>
    <w:link w:val="888"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9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91" w:customStyle="1">
    <w:name w:val="s_16"/>
    <w:basedOn w:val="8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892" w:customStyle="1">
    <w:name w:val="s_1"/>
    <w:basedOn w:val="8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893" w:customStyle="1">
    <w:name w:val="highlightsearch"/>
    <w:basedOn w:val="85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FC963-E8B9-4DED-B9F3-BAB8B618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Mitrofanovaoa</cp:lastModifiedBy>
  <cp:revision>13</cp:revision>
  <dcterms:created xsi:type="dcterms:W3CDTF">2025-12-02T12:05:00Z</dcterms:created>
  <dcterms:modified xsi:type="dcterms:W3CDTF">2025-12-17T11:14:16Z</dcterms:modified>
</cp:coreProperties>
</file>